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07" w:rsidRDefault="00BD7992">
      <w:pPr>
        <w:pStyle w:val="Standard"/>
        <w:spacing w:after="0" w:line="288" w:lineRule="auto"/>
        <w:jc w:val="both"/>
      </w:pPr>
      <w:bookmarkStart w:id="0" w:name="_GoBack"/>
      <w:bookmarkEnd w:id="0"/>
      <w:r>
        <w:rPr>
          <w:rFonts w:ascii="Tahoma" w:hAnsi="Tahoma" w:cs="Tahoma"/>
          <w:b/>
          <w:lang w:val="pl-PL"/>
        </w:rPr>
        <w:t>Nadle</w:t>
      </w:r>
      <w:r>
        <w:rPr>
          <w:rFonts w:ascii="Tahoma" w:hAnsi="Tahoma" w:cs="Tahoma"/>
          <w:b/>
        </w:rPr>
        <w:t>ž</w:t>
      </w:r>
      <w:r>
        <w:rPr>
          <w:rFonts w:ascii="Tahoma" w:hAnsi="Tahoma" w:cs="Tahoma"/>
          <w:b/>
          <w:lang w:val="pl-PL"/>
        </w:rPr>
        <w:t>an trgova</w:t>
      </w:r>
      <w:r>
        <w:rPr>
          <w:rFonts w:ascii="Tahoma" w:hAnsi="Tahoma" w:cs="Tahoma"/>
          <w:b/>
        </w:rPr>
        <w:t>č</w:t>
      </w:r>
      <w:r>
        <w:rPr>
          <w:rFonts w:ascii="Tahoma" w:hAnsi="Tahoma" w:cs="Tahoma"/>
          <w:b/>
          <w:lang w:val="pl-PL"/>
        </w:rPr>
        <w:t>ki sud</w:t>
      </w:r>
      <w:r>
        <w:rPr>
          <w:rFonts w:ascii="Tahoma" w:hAnsi="Tahoma" w:cs="Tahoma"/>
          <w:lang w:val="pl-PL"/>
        </w:rPr>
        <w:t xml:space="preserve">:     </w:t>
      </w:r>
      <w:r>
        <w:rPr>
          <w:rFonts w:ascii="Tahoma" w:hAnsi="Tahoma" w:cs="Tahoma"/>
          <w:b/>
        </w:rPr>
        <w:t>Trgovački sud u Varaždinu</w:t>
      </w:r>
    </w:p>
    <w:p w:rsidR="006E2707" w:rsidRDefault="00BD7992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Poslovni broj spisa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 xml:space="preserve">      </w:t>
      </w:r>
      <w:r>
        <w:rPr>
          <w:rFonts w:ascii="Tahoma" w:hAnsi="Tahoma" w:cs="Tahoma"/>
          <w:b/>
          <w:lang w:val="pl-PL"/>
        </w:rPr>
        <w:t>St-428/2016</w:t>
      </w:r>
    </w:p>
    <w:p w:rsidR="006E2707" w:rsidRDefault="00BD7992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Dužnik: 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 </w:t>
      </w:r>
      <w:bookmarkStart w:id="1" w:name="_Hlk485027454"/>
      <w:r>
        <w:rPr>
          <w:rFonts w:ascii="Tahoma" w:hAnsi="Tahoma" w:cs="Tahoma"/>
          <w:b/>
          <w:lang w:val="pl-PL"/>
        </w:rPr>
        <w:t xml:space="preserve">  VIG d.o.o. u stečaju                                                                                                                                     </w:t>
      </w:r>
    </w:p>
    <w:p w:rsidR="006E2707" w:rsidRDefault="00BD7992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Pavleka Miškine 72, Strahoninec</w:t>
      </w:r>
    </w:p>
    <w:p w:rsidR="006E2707" w:rsidRDefault="00BD7992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OIB: 86198632160, MB</w:t>
      </w:r>
      <w:r>
        <w:rPr>
          <w:rFonts w:ascii="Tahoma" w:hAnsi="Tahoma" w:cs="Tahoma"/>
          <w:b/>
          <w:lang w:val="pl-PL"/>
        </w:rPr>
        <w:t>S: 070067832</w:t>
      </w:r>
    </w:p>
    <w:p w:rsidR="006E2707" w:rsidRDefault="006E2707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</w:p>
    <w:p w:rsidR="006E2707" w:rsidRDefault="00BD7992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VARAŽDIN, 25.07.2019.</w:t>
      </w:r>
    </w:p>
    <w:p w:rsidR="006E2707" w:rsidRDefault="006E2707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</w:p>
    <w:p w:rsidR="006E2707" w:rsidRDefault="00BD7992">
      <w:pPr>
        <w:pStyle w:val="Standard"/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Obrazac 20</w:t>
      </w:r>
    </w:p>
    <w:p w:rsidR="006E2707" w:rsidRDefault="00BD7992">
      <w:pPr>
        <w:pStyle w:val="Standard"/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Izvješće za 2. kvartal 2019.</w:t>
      </w:r>
    </w:p>
    <w:p w:rsidR="006E2707" w:rsidRDefault="00BD7992">
      <w:pPr>
        <w:pStyle w:val="Standard"/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01.04. do 30.06.2019.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 Tijek postupka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Dana 10.06.2019. održana je u Čakovcu 3. sjednica Odbora vjerovnika (OV) na kojoj je u cijelosti usvojeno Izvješće stečajnog upravitelja </w:t>
      </w:r>
      <w:r>
        <w:rPr>
          <w:rFonts w:ascii="Tahoma" w:hAnsi="Tahoma" w:cs="Tahoma"/>
          <w:lang w:val="pl-PL"/>
        </w:rPr>
        <w:t>za 1. kvartal 2019. godine.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Nadalje usvojen je prijedlog stečajnog upravitelja da se  kod Trgovačkog suda u Zagrebu, P-797/17, povuče tužba stečajnog dužnika protiv tuženih Prvi faktor d.o.o. u likvidaciji i Kemoboja plus d.o.o. u stečaju radi ništetnosti</w:t>
      </w:r>
      <w:r>
        <w:rPr>
          <w:rFonts w:ascii="Tahoma" w:hAnsi="Tahoma" w:cs="Tahoma"/>
          <w:lang w:val="pl-PL"/>
        </w:rPr>
        <w:t xml:space="preserve"> ugovora i uspostave ranijeg zk stanja, koji je započet prije otvaranja stečajnog postupka, time da svaka strana snosi svoje troškove. Radi se o prodaji stanova koje je već brisano društvo Euro Iver d.o.o. prodalo tuženicima a stečajni dužnik je prilikom g</w:t>
      </w:r>
      <w:r>
        <w:rPr>
          <w:rFonts w:ascii="Tahoma" w:hAnsi="Tahoma" w:cs="Tahoma"/>
          <w:lang w:val="pl-PL"/>
        </w:rPr>
        <w:t>radnje vršio neke građevinska radove. Naime nakon provedenih konzultacija s odvjetnicima zaključeno je da u navedenoj parnici stečajni dužnik ne može ništa prihodovati u stečajnu masu (tuženici su u stečaju odnosno likvidaciji, pravno također tužitelj slab</w:t>
      </w:r>
      <w:r>
        <w:rPr>
          <w:rFonts w:ascii="Tahoma" w:hAnsi="Tahoma" w:cs="Tahoma"/>
          <w:lang w:val="pl-PL"/>
        </w:rPr>
        <w:t>o stoji) i nastavak parnice samo bi generirao nove troškove.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Podneskom od 30.06.2019. stečajni upravitelj povukao je tužbu.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Vezano na gornje protiv odgovornih osoba spomenutog Euro Iver d.o.o., okr.  Dine Vrbanca i drugih, u tijeku je kazneni postupak pr</w:t>
      </w:r>
      <w:r>
        <w:rPr>
          <w:rFonts w:ascii="Tahoma" w:hAnsi="Tahoma" w:cs="Tahoma"/>
          <w:lang w:val="pl-PL"/>
        </w:rPr>
        <w:t>ed Županijskim sudom u Varaždinu broj K-16/2013 pa ukoliko bude uvjeta stečajni dužnik će postaviti imovinsko pravni zahtjev prema okrivljenicima (oko budu pravomoćno osuđeni).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Odvjetnik Marko Hreljac iz Varaždina, koji zastupa Vladimira Štenglina, zatraž</w:t>
      </w:r>
      <w:r>
        <w:rPr>
          <w:rFonts w:ascii="Tahoma" w:hAnsi="Tahoma" w:cs="Tahoma"/>
          <w:lang w:val="pl-PL"/>
        </w:rPr>
        <w:t>io je punomoć od stečajnog upravitelja za zastupanje stečajnog dužnika u gore opisanom  kaznenom postupku protiv Dine Vrbanca i dr. Trošak zastupanja snosio bi Vladimir Štenglin, koji je ujedno i stečajni vjerovnik, pa će se o tome ako dođe do dogovora zak</w:t>
      </w:r>
      <w:r>
        <w:rPr>
          <w:rFonts w:ascii="Tahoma" w:hAnsi="Tahoma" w:cs="Tahoma"/>
          <w:lang w:val="pl-PL"/>
        </w:rPr>
        <w:t>ljučiti posebni sporazum.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II Stanje stečajne mase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FINA Zagreb objavila je dana 18.02.2019. „Poziv na sudjelovanje u Elektroničkoj javnoj dražbi”. Prva dražba počela je 18.02.2019. u 15,00 sati i završila 14.05.2019. u 23,59 sati. Dražba je bila neuspješ</w:t>
      </w:r>
      <w:r>
        <w:rPr>
          <w:rFonts w:ascii="Tahoma" w:hAnsi="Tahoma" w:cs="Tahoma"/>
          <w:lang w:val="pl-PL"/>
        </w:rPr>
        <w:t>na jer se nije pojavio niti jedan kupac.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Dana 15.05.2019. FINA je objavila novi poziv za sudjelovanje u Drugoj Elektroničkoj javnoj dražbi koja počinje 15.05.2019. u 15,00 sati i završava 07.08.2019. u 23,59,59 sati. Ponude se prikupljaju elektroničkim pu</w:t>
      </w:r>
      <w:r>
        <w:rPr>
          <w:rFonts w:ascii="Tahoma" w:hAnsi="Tahoma" w:cs="Tahoma"/>
          <w:lang w:val="pl-PL"/>
        </w:rPr>
        <w:t>tem od 24.07.2019. od 00,00,00 sati do 07.08.2019. u 23,59,59 sati. Postoji interes razlučnog vjerovnika B2 Kapital d.o.o.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Bivši direktor stečajnog dužnika Vladimir Štenglin još uvijek nije ispraznio prostor u objektu  u kojem je u tijeku gore opisana jav</w:t>
      </w:r>
      <w:r>
        <w:rPr>
          <w:rFonts w:ascii="Tahoma" w:hAnsi="Tahoma" w:cs="Tahoma"/>
          <w:lang w:val="pl-PL"/>
        </w:rPr>
        <w:t xml:space="preserve">na dražba a dijelom se radi i o kemijskom otpadu. Stečajni upravitelj ne može sam isprazniti prostor jer za to nema sredstava. Nakon upućene opomene s prijetnjom novčane kazne zbog nesuradnje bivši direktor obećao je isprazniti prostor ali je provjerom na </w:t>
      </w:r>
      <w:r>
        <w:rPr>
          <w:rFonts w:ascii="Tahoma" w:hAnsi="Tahoma" w:cs="Tahoma"/>
          <w:lang w:val="pl-PL"/>
        </w:rPr>
        <w:t>terenu utvrđeno da to nije učinio.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III Stanje žiro računa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Stečajni upravitelj obavještava sud da stečajni dužnik ima otvoreni žiro račun a</w:t>
      </w:r>
      <w:r>
        <w:rPr>
          <w:rFonts w:ascii="Tahoma" w:hAnsi="Tahoma" w:cs="Tahoma"/>
          <w:lang w:val="pl-PL"/>
        </w:rPr>
        <w:t xml:space="preserve"> na njemu je 0,13 kn. Stečajni dužnik nema prihoda a ima režijske troškove za nekretninu u Čakovcu, R. Boškovića 15, knjigovodstvo i ostale materijalne troškove, kako je to prikazano u Finacijskom planu za 3. kvartal.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IV Prijedlozi stečajnog upravitelja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prihvaćanje Izvješća</w:t>
      </w: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prihvaćanje Financijskog plana za 2. kvartal 2019.</w:t>
      </w: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>Stečajni upravitelj:</w:t>
      </w:r>
    </w:p>
    <w:p w:rsidR="006E2707" w:rsidRDefault="00BD7992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>____________</w:t>
      </w:r>
    </w:p>
    <w:bookmarkEnd w:id="1"/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2707" w:rsidRDefault="006E2707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2707" w:rsidRDefault="006E2707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2707" w:rsidRDefault="006E2707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2707" w:rsidRDefault="00BD7992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>VIG d.o.o. u stečaju</w:t>
      </w:r>
    </w:p>
    <w:p w:rsidR="006E2707" w:rsidRDefault="00BD7992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lastRenderedPageBreak/>
        <w:t>Strahoninec, P. Miškina 72</w:t>
      </w:r>
    </w:p>
    <w:p w:rsidR="006E2707" w:rsidRDefault="00BD7992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>Varaždin, 25.07.2019.</w:t>
      </w:r>
    </w:p>
    <w:p w:rsidR="006E2707" w:rsidRDefault="006E2707">
      <w:pPr>
        <w:pStyle w:val="Standard"/>
        <w:spacing w:line="288" w:lineRule="auto"/>
      </w:pPr>
    </w:p>
    <w:p w:rsidR="006E2707" w:rsidRDefault="006E2707">
      <w:pPr>
        <w:pStyle w:val="Standard"/>
        <w:spacing w:line="288" w:lineRule="auto"/>
      </w:pPr>
    </w:p>
    <w:p w:rsidR="006E2707" w:rsidRDefault="00BD7992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 xml:space="preserve">                 </w:t>
      </w:r>
      <w:r>
        <w:rPr>
          <w:rFonts w:ascii="Tahoma" w:hAnsi="Tahoma" w:cs="Tahoma"/>
          <w:b/>
        </w:rPr>
        <w:t xml:space="preserve">TRGOVAČKI SUD </w:t>
      </w:r>
      <w:r>
        <w:rPr>
          <w:rFonts w:ascii="Tahoma" w:hAnsi="Tahoma" w:cs="Tahoma"/>
          <w:b/>
        </w:rPr>
        <w:tab/>
        <w:t>VARAŽDIN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St – 428/16</w:t>
      </w:r>
    </w:p>
    <w:p w:rsidR="006E2707" w:rsidRDefault="00BD7992">
      <w:pPr>
        <w:pStyle w:val="Standard"/>
        <w:spacing w:after="0"/>
        <w:ind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</w:p>
    <w:p w:rsidR="006E2707" w:rsidRDefault="00BD7992">
      <w:pPr>
        <w:pStyle w:val="Standard"/>
        <w:spacing w:after="0"/>
        <w:ind w:hanging="426"/>
        <w:jc w:val="both"/>
      </w:pPr>
      <w:r>
        <w:rPr>
          <w:rFonts w:ascii="Tahoma" w:hAnsi="Tahoma" w:cs="Tahoma"/>
          <w:b/>
          <w:sz w:val="28"/>
          <w:szCs w:val="28"/>
        </w:rPr>
        <w:t xml:space="preserve">   </w:t>
      </w:r>
    </w:p>
    <w:p w:rsidR="006E2707" w:rsidRDefault="00BD7992">
      <w:pPr>
        <w:pStyle w:val="Standard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PREGLED FINANCIJSKOG PLANA ZA PERIOD</w:t>
      </w:r>
    </w:p>
    <w:p w:rsidR="006E2707" w:rsidRDefault="00BD7992">
      <w:pPr>
        <w:pStyle w:val="Standard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(01.07. do 30.09.2019)</w:t>
      </w:r>
    </w:p>
    <w:p w:rsidR="006E2707" w:rsidRDefault="006E2707">
      <w:pPr>
        <w:pStyle w:val="Standard"/>
        <w:jc w:val="center"/>
        <w:rPr>
          <w:rFonts w:ascii="Tahoma" w:hAnsi="Tahoma" w:cs="Tahoma"/>
          <w:b/>
          <w:bCs/>
          <w:sz w:val="28"/>
          <w:szCs w:val="28"/>
        </w:rPr>
      </w:pP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0"/>
        <w:gridCol w:w="2024"/>
        <w:gridCol w:w="2202"/>
      </w:tblGrid>
      <w:tr w:rsidR="006E2707">
        <w:tblPrEx>
          <w:tblCellMar>
            <w:top w:w="0" w:type="dxa"/>
            <w:bottom w:w="0" w:type="dxa"/>
          </w:tblCellMar>
        </w:tblPrEx>
        <w:trPr>
          <w:trHeight w:val="1091"/>
          <w:jc w:val="center"/>
        </w:trPr>
        <w:tc>
          <w:tcPr>
            <w:tcW w:w="5970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Planirani troškovi</w:t>
            </w:r>
          </w:p>
        </w:tc>
        <w:tc>
          <w:tcPr>
            <w:tcW w:w="202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Mjesečni               trošak</w:t>
            </w:r>
          </w:p>
        </w:tc>
        <w:tc>
          <w:tcPr>
            <w:tcW w:w="2202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center"/>
            </w:pPr>
            <w:r>
              <w:rPr>
                <w:rFonts w:ascii="Tahoma" w:hAnsi="Tahoma" w:cs="Tahoma"/>
                <w:b/>
                <w:bCs/>
              </w:rPr>
              <w:t>Razdoblje</w:t>
            </w:r>
            <w:r>
              <w:rPr>
                <w:rFonts w:ascii="Tahoma" w:hAnsi="Tahoma" w:cs="Tahoma"/>
                <w:b/>
                <w:bCs/>
                <w:caps/>
              </w:rPr>
              <w:t xml:space="preserve"> 3. kvartal</w:t>
            </w:r>
          </w:p>
        </w:tc>
      </w:tr>
      <w:tr w:rsidR="006E2707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Putni i materijalni troškovi (poštarina, telefon, uredski materijal)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500,00</w:t>
            </w:r>
          </w:p>
          <w:p w:rsidR="006E2707" w:rsidRDefault="006E2707">
            <w:pPr>
              <w:pStyle w:val="Standard"/>
              <w:jc w:val="right"/>
              <w:rPr>
                <w:rFonts w:ascii="Tahoma" w:hAnsi="Tahoma" w:cs="Tahoma"/>
              </w:rPr>
            </w:pP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1500,00</w:t>
            </w:r>
          </w:p>
        </w:tc>
      </w:tr>
      <w:tr w:rsidR="006E2707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spacing w:line="288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Režijski troškovi za nekretninu u Čakovcu, R. Boškov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ća 15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3.000,00</w:t>
            </w:r>
          </w:p>
        </w:tc>
      </w:tr>
      <w:tr w:rsidR="006E2707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4.500,00</w:t>
            </w:r>
          </w:p>
        </w:tc>
      </w:tr>
      <w:tr w:rsidR="006E27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3.000,00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707" w:rsidRDefault="00BD7992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9.000,00</w:t>
            </w:r>
          </w:p>
        </w:tc>
      </w:tr>
    </w:tbl>
    <w:p w:rsidR="006E2707" w:rsidRDefault="006E2707">
      <w:pPr>
        <w:pStyle w:val="Standard"/>
        <w:spacing w:line="288" w:lineRule="auto"/>
        <w:rPr>
          <w:rFonts w:ascii="Century Gothic" w:hAnsi="Century Gothic" w:cs="Century Gothic"/>
          <w:b/>
          <w:i/>
        </w:rPr>
      </w:pPr>
    </w:p>
    <w:p w:rsidR="006E2707" w:rsidRDefault="00BD7992">
      <w:pPr>
        <w:pStyle w:val="Standard"/>
        <w:spacing w:line="288" w:lineRule="auto"/>
        <w:ind w:left="142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*Planirani</w:t>
      </w:r>
      <w:r>
        <w:rPr>
          <w:rFonts w:ascii="Tahoma" w:hAnsi="Tahoma" w:cs="Tahoma"/>
          <w:i/>
        </w:rPr>
        <w:t xml:space="preserve"> troškovi  iskazani su bez PDV-a, a trošak procjena.</w:t>
      </w:r>
    </w:p>
    <w:p w:rsidR="006E2707" w:rsidRDefault="006E2707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6E2707" w:rsidRDefault="00BD7992">
      <w:pPr>
        <w:pStyle w:val="Standard"/>
        <w:spacing w:line="288" w:lineRule="auto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</w:p>
    <w:p w:rsidR="006E2707" w:rsidRDefault="00BD7992">
      <w:pPr>
        <w:pStyle w:val="Standard"/>
        <w:spacing w:line="288" w:lineRule="auto"/>
        <w:ind w:left="142"/>
      </w:pPr>
      <w:r>
        <w:rPr>
          <w:rFonts w:ascii="Tahoma" w:hAnsi="Tahoma" w:cs="Tahoma"/>
          <w:i/>
        </w:rPr>
        <w:t xml:space="preserve">Varaždin, 25.07.2019. </w:t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  <w:t>Stečajni upravitelj Zvonko Hrain</w:t>
      </w:r>
    </w:p>
    <w:p w:rsidR="006E2707" w:rsidRDefault="006E2707">
      <w:pPr>
        <w:pStyle w:val="Standard"/>
        <w:spacing w:after="0" w:line="264" w:lineRule="auto"/>
        <w:jc w:val="both"/>
        <w:rPr>
          <w:rFonts w:ascii="Tahoma" w:hAnsi="Tahoma" w:cs="Tahoma"/>
          <w:b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2707" w:rsidRDefault="006E2707">
      <w:pPr>
        <w:pStyle w:val="Standard"/>
      </w:pPr>
    </w:p>
    <w:sectPr w:rsidR="006E2707">
      <w:headerReference w:type="default" r:id="rId8"/>
      <w:pgSz w:w="11906" w:h="16838"/>
      <w:pgMar w:top="1134" w:right="1134" w:bottom="72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D7992">
      <w:pPr>
        <w:spacing w:after="0" w:line="240" w:lineRule="auto"/>
      </w:pPr>
      <w:r>
        <w:separator/>
      </w:r>
    </w:p>
  </w:endnote>
  <w:endnote w:type="continuationSeparator" w:id="0">
    <w:p w:rsidR="00000000" w:rsidRDefault="00BD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D799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BD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A6E" w:rsidRDefault="00BD7992">
    <w:pPr>
      <w:widowControl/>
      <w:suppressAutoHyphens w:val="0"/>
      <w:spacing w:after="0" w:line="240" w:lineRule="auto"/>
      <w:jc w:val="center"/>
      <w:textAlignment w:val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0F2"/>
    <w:multiLevelType w:val="multilevel"/>
    <w:tmpl w:val="8DEC1F78"/>
    <w:styleLink w:val="WWNum15"/>
    <w:lvl w:ilvl="0">
      <w:start w:val="1"/>
      <w:numFmt w:val="decimal"/>
      <w:lvlText w:val="%1."/>
      <w:lvlJc w:val="left"/>
      <w:rPr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92467E1"/>
    <w:multiLevelType w:val="multilevel"/>
    <w:tmpl w:val="02B2D5D6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CBD6929"/>
    <w:multiLevelType w:val="multilevel"/>
    <w:tmpl w:val="0A18BF12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0DA77EEA"/>
    <w:multiLevelType w:val="multilevel"/>
    <w:tmpl w:val="7584C3AA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3374601"/>
    <w:multiLevelType w:val="multilevel"/>
    <w:tmpl w:val="9934D954"/>
    <w:styleLink w:val="WWNum19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3AC58A1"/>
    <w:multiLevelType w:val="multilevel"/>
    <w:tmpl w:val="E86C31DC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14344AF3"/>
    <w:multiLevelType w:val="multilevel"/>
    <w:tmpl w:val="384E7432"/>
    <w:styleLink w:val="WWNum18"/>
    <w:lvl w:ilvl="0">
      <w:numFmt w:val="bullet"/>
      <w:lvlText w:val="-"/>
      <w:lvlJc w:val="left"/>
      <w:rPr>
        <w:rFonts w:ascii="Tahoma" w:hAnsi="Tahoma" w:cs="Calibri"/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61D796B"/>
    <w:multiLevelType w:val="multilevel"/>
    <w:tmpl w:val="976226F8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1BD3165C"/>
    <w:multiLevelType w:val="multilevel"/>
    <w:tmpl w:val="FE326CFA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CEF3034"/>
    <w:multiLevelType w:val="multilevel"/>
    <w:tmpl w:val="EE409958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20173A7E"/>
    <w:multiLevelType w:val="multilevel"/>
    <w:tmpl w:val="883CD5E0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22A97140"/>
    <w:multiLevelType w:val="multilevel"/>
    <w:tmpl w:val="017688B2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367647E"/>
    <w:multiLevelType w:val="multilevel"/>
    <w:tmpl w:val="17E64FE6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23B74EA5"/>
    <w:multiLevelType w:val="multilevel"/>
    <w:tmpl w:val="AB5C8EA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343B0864"/>
    <w:multiLevelType w:val="multilevel"/>
    <w:tmpl w:val="2BD62C78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35AC36E4"/>
    <w:multiLevelType w:val="multilevel"/>
    <w:tmpl w:val="30B4B004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360A6A2E"/>
    <w:multiLevelType w:val="multilevel"/>
    <w:tmpl w:val="7F50ABD0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BAF732E"/>
    <w:multiLevelType w:val="multilevel"/>
    <w:tmpl w:val="E1480708"/>
    <w:styleLink w:val="WWNum17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3EC72BBD"/>
    <w:multiLevelType w:val="multilevel"/>
    <w:tmpl w:val="69B0F3A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478C7F44"/>
    <w:multiLevelType w:val="multilevel"/>
    <w:tmpl w:val="6C1CF660"/>
    <w:styleLink w:val="WWNum16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54662404"/>
    <w:multiLevelType w:val="multilevel"/>
    <w:tmpl w:val="DE4CABCC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56496F79"/>
    <w:multiLevelType w:val="multilevel"/>
    <w:tmpl w:val="A502CD16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5EA52C5F"/>
    <w:multiLevelType w:val="multilevel"/>
    <w:tmpl w:val="ED8244E6"/>
    <w:styleLink w:val="WWNum3"/>
    <w:lvl w:ilvl="0">
      <w:numFmt w:val="bullet"/>
      <w:lvlText w:val="•"/>
      <w:lvlJc w:val="left"/>
      <w:rPr>
        <w:rFonts w:ascii="Tahoma" w:eastAsia="Calibri" w:hAnsi="Tahoma" w:cs="Tahom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5F201605"/>
    <w:multiLevelType w:val="multilevel"/>
    <w:tmpl w:val="F08CD044"/>
    <w:styleLink w:val="WWNum10"/>
    <w:lvl w:ilvl="0">
      <w:start w:val="1"/>
      <w:numFmt w:val="decimal"/>
      <w:lvlText w:val="%1."/>
      <w:lvlJc w:val="left"/>
      <w:rPr>
        <w:b w:val="0"/>
      </w:rPr>
    </w:lvl>
    <w:lvl w:ilvl="1">
      <w:start w:val="553"/>
      <w:numFmt w:val="decimal"/>
      <w:lvlText w:val="%1.%2"/>
      <w:lvlJc w:val="left"/>
    </w:lvl>
    <w:lvl w:ilvl="2">
      <w:start w:val="820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>
    <w:nsid w:val="66ED57BE"/>
    <w:multiLevelType w:val="multilevel"/>
    <w:tmpl w:val="A32AECB4"/>
    <w:styleLink w:val="WWNum21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6ADD72E5"/>
    <w:multiLevelType w:val="multilevel"/>
    <w:tmpl w:val="087603A4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76173401"/>
    <w:multiLevelType w:val="multilevel"/>
    <w:tmpl w:val="874E21BE"/>
    <w:styleLink w:val="WWNum14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7A6431A2"/>
    <w:multiLevelType w:val="multilevel"/>
    <w:tmpl w:val="BC62A4C8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7F425D43"/>
    <w:multiLevelType w:val="multilevel"/>
    <w:tmpl w:val="5A6C543A"/>
    <w:styleLink w:val="WWNum20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9"/>
  </w:num>
  <w:num w:numId="2">
    <w:abstractNumId w:val="16"/>
  </w:num>
  <w:num w:numId="3">
    <w:abstractNumId w:val="22"/>
  </w:num>
  <w:num w:numId="4">
    <w:abstractNumId w:val="18"/>
  </w:num>
  <w:num w:numId="5">
    <w:abstractNumId w:val="13"/>
  </w:num>
  <w:num w:numId="6">
    <w:abstractNumId w:val="25"/>
  </w:num>
  <w:num w:numId="7">
    <w:abstractNumId w:val="2"/>
  </w:num>
  <w:num w:numId="8">
    <w:abstractNumId w:val="21"/>
  </w:num>
  <w:num w:numId="9">
    <w:abstractNumId w:val="12"/>
  </w:num>
  <w:num w:numId="10">
    <w:abstractNumId w:val="23"/>
  </w:num>
  <w:num w:numId="11">
    <w:abstractNumId w:val="14"/>
  </w:num>
  <w:num w:numId="12">
    <w:abstractNumId w:val="15"/>
  </w:num>
  <w:num w:numId="13">
    <w:abstractNumId w:val="3"/>
  </w:num>
  <w:num w:numId="14">
    <w:abstractNumId w:val="26"/>
  </w:num>
  <w:num w:numId="15">
    <w:abstractNumId w:val="0"/>
  </w:num>
  <w:num w:numId="16">
    <w:abstractNumId w:val="19"/>
  </w:num>
  <w:num w:numId="17">
    <w:abstractNumId w:val="17"/>
  </w:num>
  <w:num w:numId="18">
    <w:abstractNumId w:val="6"/>
  </w:num>
  <w:num w:numId="19">
    <w:abstractNumId w:val="4"/>
  </w:num>
  <w:num w:numId="20">
    <w:abstractNumId w:val="28"/>
  </w:num>
  <w:num w:numId="21">
    <w:abstractNumId w:val="24"/>
  </w:num>
  <w:num w:numId="22">
    <w:abstractNumId w:val="8"/>
  </w:num>
  <w:num w:numId="23">
    <w:abstractNumId w:val="5"/>
  </w:num>
  <w:num w:numId="24">
    <w:abstractNumId w:val="1"/>
  </w:num>
  <w:num w:numId="25">
    <w:abstractNumId w:val="27"/>
  </w:num>
  <w:num w:numId="26">
    <w:abstractNumId w:val="7"/>
  </w:num>
  <w:num w:numId="27">
    <w:abstractNumId w:val="11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2707"/>
    <w:rsid w:val="006E2707"/>
    <w:rsid w:val="00BD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Zaglavlje"/>
    <w:next w:val="Textbody"/>
    <w:pPr>
      <w:outlineLvl w:val="0"/>
    </w:pPr>
    <w:rPr>
      <w:b/>
      <w:bCs/>
    </w:rPr>
  </w:style>
  <w:style w:type="paragraph" w:styleId="Naslov2">
    <w:name w:val="heading 2"/>
    <w:basedOn w:val="Zaglavlje"/>
    <w:next w:val="Textbody"/>
    <w:pPr>
      <w:outlineLvl w:val="1"/>
    </w:pPr>
    <w:rPr>
      <w:b/>
      <w:bCs/>
      <w:i/>
      <w:iCs/>
    </w:rPr>
  </w:style>
  <w:style w:type="paragraph" w:styleId="Naslov3">
    <w:name w:val="heading 3"/>
    <w:basedOn w:val="Zaglavlje"/>
    <w:next w:val="Textbody"/>
    <w:pPr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styleId="Naglaeno">
    <w:name w:val="Strong"/>
    <w:basedOn w:val="Zadanifontodlomka"/>
    <w:rPr>
      <w:b/>
      <w:bCs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7">
    <w:name w:val="ListLabel 7"/>
    <w:rPr>
      <w:b/>
    </w:rPr>
  </w:style>
  <w:style w:type="character" w:styleId="Istaknuto">
    <w:name w:val="Emphasis"/>
    <w:rPr>
      <w:i/>
      <w:iCs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Zaglavlje"/>
    <w:next w:val="Textbody"/>
    <w:pPr>
      <w:outlineLvl w:val="0"/>
    </w:pPr>
    <w:rPr>
      <w:b/>
      <w:bCs/>
    </w:rPr>
  </w:style>
  <w:style w:type="paragraph" w:styleId="Naslov2">
    <w:name w:val="heading 2"/>
    <w:basedOn w:val="Zaglavlje"/>
    <w:next w:val="Textbody"/>
    <w:pPr>
      <w:outlineLvl w:val="1"/>
    </w:pPr>
    <w:rPr>
      <w:b/>
      <w:bCs/>
      <w:i/>
      <w:iCs/>
    </w:rPr>
  </w:style>
  <w:style w:type="paragraph" w:styleId="Naslov3">
    <w:name w:val="heading 3"/>
    <w:basedOn w:val="Zaglavlje"/>
    <w:next w:val="Textbody"/>
    <w:pPr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styleId="Naglaeno">
    <w:name w:val="Strong"/>
    <w:basedOn w:val="Zadanifontodlomka"/>
    <w:rPr>
      <w:b/>
      <w:bCs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7">
    <w:name w:val="ListLabel 7"/>
    <w:rPr>
      <w:b/>
    </w:rPr>
  </w:style>
  <w:style w:type="character" w:styleId="Istaknuto">
    <w:name w:val="Emphasis"/>
    <w:rPr>
      <w:i/>
      <w:iCs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Šobak</dc:creator>
  <cp:lastModifiedBy>Nikolina Cvek</cp:lastModifiedBy>
  <cp:revision>1</cp:revision>
  <cp:lastPrinted>2019-07-26T12:11:00Z</cp:lastPrinted>
  <dcterms:created xsi:type="dcterms:W3CDTF">2009-04-16T11:32:00Z</dcterms:created>
  <dcterms:modified xsi:type="dcterms:W3CDTF">2019-07-29T12:09:00Z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